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Verdana" w:hAnsi="Verdana"/>
          <w:lang w:val="mk-MK"/>
        </w:rPr>
      </w:pPr>
      <w:bookmarkStart w:id="0" w:name="_GoBack"/>
      <w:bookmarkEnd w:id="0"/>
      <w:r>
        <w:rPr>
          <w:rFonts w:ascii="Verdana" w:hAnsi="Verdana"/>
          <w:b/>
          <w:bCs/>
          <w:sz w:val="32"/>
          <w:szCs w:val="32"/>
          <w:lang w:val="mk-MK"/>
        </w:rPr>
        <w:t>План на часот</w:t>
      </w:r>
    </w:p>
    <w:p>
      <w:pPr>
        <w:pStyle w:val="ListParagraph"/>
        <w:ind w:left="360"/>
        <w:rPr>
          <w:rFonts w:ascii="Verdana" w:hAnsi="Verdana"/>
          <w:lang w:val="mk-MK"/>
        </w:rPr>
      </w:pPr>
    </w:p>
    <w:p>
      <w:pPr>
        <w:rPr>
          <w:rFonts w:ascii="Verdana" w:hAnsi="Verdana"/>
          <w:b/>
          <w:sz w:val="22"/>
          <w:szCs w:val="22"/>
          <w:lang w:val="mk-MK"/>
        </w:rPr>
      </w:pPr>
      <w:r>
        <w:rPr>
          <w:rFonts w:ascii="Verdana" w:hAnsi="Verdana"/>
          <w:sz w:val="28"/>
          <w:szCs w:val="28"/>
          <w:lang w:val="mk-MK"/>
        </w:rPr>
        <w:t>Лекција 1.2.2 (Одредби од материјалното право во членови на Конвенцијата од Будимпешта)</w:t>
      </w:r>
    </w:p>
    <w:p>
      <w:pPr>
        <w:ind w:left="720"/>
        <w:rPr>
          <w:rFonts w:ascii="Verdana" w:hAnsi="Verdana"/>
          <w:lang w:val="mk-M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4711"/>
        <w:gridCol w:w="2684"/>
      </w:tblGrid>
      <w:tr>
        <w:trPr>
          <w:trHeight w:val="872"/>
        </w:trPr>
        <w:tc>
          <w:tcPr>
            <w:tcW w:w="6326" w:type="dxa"/>
            <w:gridSpan w:val="2"/>
            <w:shd w:val="clear" w:color="auto" w:fill="DEEAF6"/>
            <w:vAlign w:val="center"/>
          </w:tcPr>
          <w:p>
            <w:pPr>
              <w:rPr>
                <w:rFonts w:ascii="Verdana" w:hAnsi="Verdana"/>
                <w:sz w:val="22"/>
                <w:szCs w:val="22"/>
                <w:lang w:val="mk-MK"/>
              </w:rPr>
            </w:pPr>
            <w:r>
              <w:rPr>
                <w:rFonts w:ascii="Verdana" w:hAnsi="Verdana"/>
                <w:sz w:val="22"/>
                <w:szCs w:val="22"/>
                <w:lang w:val="mk-MK"/>
              </w:rPr>
              <w:t>Лекција 1.2.2 (Одредби од материјалното право во членови на Конвенцијата од Будимпешта)</w:t>
            </w:r>
          </w:p>
        </w:tc>
        <w:tc>
          <w:tcPr>
            <w:tcW w:w="2684" w:type="dxa"/>
            <w:shd w:val="clear" w:color="auto" w:fill="DEEAF6"/>
            <w:vAlign w:val="center"/>
          </w:tcPr>
          <w:p>
            <w:pPr>
              <w:rPr>
                <w:rFonts w:ascii="Verdana" w:hAnsi="Verdana"/>
                <w:sz w:val="22"/>
                <w:szCs w:val="22"/>
                <w:lang w:val="mk-MK"/>
              </w:rPr>
            </w:pPr>
            <w:r>
              <w:rPr>
                <w:rFonts w:ascii="Verdana" w:hAnsi="Verdana"/>
                <w:sz w:val="22"/>
                <w:szCs w:val="22"/>
                <w:lang w:val="mk-MK"/>
              </w:rPr>
              <w:t>Траење: 120 минути</w:t>
            </w:r>
          </w:p>
        </w:tc>
      </w:tr>
      <w:tr>
        <w:trPr>
          <w:trHeight w:val="1025"/>
        </w:trPr>
        <w:tc>
          <w:tcPr>
            <w:tcW w:w="9010" w:type="dxa"/>
            <w:gridSpan w:val="3"/>
            <w:vAlign w:val="center"/>
          </w:tcPr>
          <w:p>
            <w:pPr>
              <w:spacing w:before="120" w:after="120" w:line="280" w:lineRule="exact"/>
              <w:rPr>
                <w:rFonts w:ascii="Verdana" w:hAnsi="Verdana"/>
                <w:b/>
                <w:sz w:val="22"/>
                <w:szCs w:val="22"/>
                <w:lang w:val="mk-MK"/>
              </w:rPr>
            </w:pPr>
            <w:r>
              <w:rPr>
                <w:rFonts w:ascii="Verdana" w:hAnsi="Verdana"/>
                <w:b/>
                <w:bCs/>
                <w:sz w:val="22"/>
                <w:szCs w:val="22"/>
                <w:lang w:val="mk-MK"/>
              </w:rPr>
              <w:t>Потребни ресурси:</w:t>
            </w:r>
          </w:p>
          <w:p>
            <w:pPr>
              <w:pStyle w:val="bul1"/>
              <w:numPr>
                <w:ilvl w:val="0"/>
                <w:numId w:val="6"/>
              </w:numPr>
              <w:spacing w:before="120" w:after="120" w:line="280" w:lineRule="exact"/>
              <w:contextualSpacing/>
              <w:rPr>
                <w:szCs w:val="18"/>
                <w:lang w:val="mk-MK"/>
              </w:rPr>
            </w:pPr>
            <w:r>
              <w:rPr>
                <w:szCs w:val="18"/>
                <w:lang w:val="mk-MK"/>
              </w:rPr>
              <w:t>Персонален компјутер/лаптоп со инсталирани верзии на софтвер компатибилни со подготвените материјали</w:t>
            </w:r>
          </w:p>
          <w:p>
            <w:pPr>
              <w:pStyle w:val="bul1"/>
              <w:numPr>
                <w:ilvl w:val="0"/>
                <w:numId w:val="6"/>
              </w:numPr>
              <w:spacing w:before="120" w:after="120" w:line="280" w:lineRule="exact"/>
              <w:contextualSpacing/>
              <w:rPr>
                <w:szCs w:val="18"/>
                <w:lang w:val="mk-MK"/>
              </w:rPr>
            </w:pPr>
            <w:r>
              <w:rPr>
                <w:szCs w:val="18"/>
                <w:lang w:val="mk-MK"/>
              </w:rPr>
              <w:t>Проектор и платно за проектирање</w:t>
            </w:r>
          </w:p>
          <w:p>
            <w:pPr>
              <w:pStyle w:val="bul1"/>
              <w:numPr>
                <w:ilvl w:val="0"/>
                <w:numId w:val="6"/>
              </w:numPr>
              <w:spacing w:before="120" w:after="120" w:line="280" w:lineRule="exact"/>
              <w:contextualSpacing/>
              <w:rPr>
                <w:szCs w:val="18"/>
                <w:lang w:val="mk-MK"/>
              </w:rPr>
            </w:pPr>
            <w:r>
              <w:rPr>
                <w:szCs w:val="18"/>
                <w:lang w:val="mk-MK"/>
              </w:rPr>
              <w:t xml:space="preserve">Интернет-пристап (ако е достапно) </w:t>
            </w:r>
          </w:p>
          <w:p>
            <w:pPr>
              <w:pStyle w:val="bul1"/>
              <w:numPr>
                <w:ilvl w:val="0"/>
                <w:numId w:val="6"/>
              </w:numPr>
              <w:spacing w:before="120" w:after="120" w:line="280" w:lineRule="exact"/>
              <w:contextualSpacing/>
              <w:rPr>
                <w:i/>
                <w:szCs w:val="18"/>
                <w:lang w:val="mk-MK"/>
              </w:rPr>
            </w:pPr>
            <w:r>
              <w:rPr>
                <w:rFonts w:cs="Helvetica"/>
                <w:szCs w:val="18"/>
                <w:lang w:val="mk-MK"/>
              </w:rPr>
              <w:t>Хартија и пенкала за пишување за учесниците</w:t>
            </w:r>
          </w:p>
        </w:tc>
      </w:tr>
      <w:tr>
        <w:trPr>
          <w:trHeight w:val="1241"/>
        </w:trPr>
        <w:tc>
          <w:tcPr>
            <w:tcW w:w="9010" w:type="dxa"/>
            <w:gridSpan w:val="3"/>
            <w:vAlign w:val="center"/>
          </w:tcPr>
          <w:p>
            <w:pPr>
              <w:spacing w:before="120" w:after="120" w:line="280" w:lineRule="exact"/>
              <w:rPr>
                <w:rFonts w:ascii="Verdana" w:hAnsi="Verdana"/>
                <w:b/>
                <w:sz w:val="22"/>
                <w:szCs w:val="22"/>
                <w:lang w:val="mk-MK"/>
              </w:rPr>
            </w:pPr>
            <w:r>
              <w:rPr>
                <w:rFonts w:ascii="Verdana" w:hAnsi="Verdana"/>
                <w:b/>
                <w:bCs/>
                <w:sz w:val="22"/>
                <w:szCs w:val="22"/>
                <w:lang w:val="mk-MK"/>
              </w:rPr>
              <w:t>Цел на сесијата:</w:t>
            </w:r>
          </w:p>
          <w:p>
            <w:pPr>
              <w:spacing w:before="120" w:after="120" w:line="280" w:lineRule="exact"/>
              <w:jc w:val="both"/>
              <w:rPr>
                <w:rFonts w:ascii="Verdana" w:hAnsi="Verdana"/>
                <w:sz w:val="18"/>
                <w:szCs w:val="18"/>
                <w:lang w:val="mk-MK"/>
              </w:rPr>
            </w:pPr>
            <w:r>
              <w:rPr>
                <w:rFonts w:ascii="Verdana" w:hAnsi="Verdana"/>
                <w:sz w:val="18"/>
                <w:szCs w:val="18"/>
                <w:lang w:val="mk-MK"/>
              </w:rPr>
              <w:t>Општа цел на оваа сесија е да им овозможи на учесниците севкупно разбирање на материјалното право што се однесува на компјутерскиот криминал, вклучително и кривични дела против доверливоста, интегритетот и достапноста на компјутерските податоци и системи, кривични дела поврзани со компјутери, кривични дела поврзани со содржини и кривични дела поврзани со кршење на авторските и на сродните права.</w:t>
            </w:r>
          </w:p>
        </w:tc>
      </w:tr>
      <w:tr>
        <w:trPr>
          <w:trHeight w:val="2240"/>
        </w:trPr>
        <w:tc>
          <w:tcPr>
            <w:tcW w:w="9010" w:type="dxa"/>
            <w:gridSpan w:val="3"/>
            <w:vAlign w:val="center"/>
          </w:tcPr>
          <w:p>
            <w:pPr>
              <w:spacing w:before="120" w:after="120" w:line="280" w:lineRule="exact"/>
              <w:contextualSpacing/>
              <w:rPr>
                <w:rFonts w:ascii="Verdana" w:hAnsi="Verdana"/>
                <w:b/>
                <w:sz w:val="22"/>
                <w:szCs w:val="22"/>
                <w:lang w:val="mk-MK"/>
              </w:rPr>
            </w:pPr>
            <w:r>
              <w:rPr>
                <w:rFonts w:ascii="Verdana" w:hAnsi="Verdana"/>
                <w:b/>
                <w:bCs/>
                <w:sz w:val="22"/>
                <w:szCs w:val="22"/>
                <w:lang w:val="mk-MK"/>
              </w:rPr>
              <w:t>Потесни цели:</w:t>
            </w:r>
          </w:p>
          <w:p>
            <w:pPr>
              <w:tabs>
                <w:tab w:val="left" w:pos="426"/>
                <w:tab w:val="left" w:pos="851"/>
              </w:tabs>
              <w:spacing w:before="120" w:after="120" w:line="280" w:lineRule="exact"/>
              <w:contextualSpacing/>
              <w:jc w:val="both"/>
              <w:rPr>
                <w:rFonts w:ascii="Verdana" w:eastAsia="Times New Roman" w:hAnsi="Verdana"/>
                <w:sz w:val="18"/>
                <w:szCs w:val="18"/>
                <w:lang w:val="mk-MK"/>
              </w:rPr>
            </w:pPr>
            <w:r>
              <w:rPr>
                <w:rFonts w:ascii="Verdana" w:eastAsia="Times New Roman" w:hAnsi="Verdana"/>
                <w:sz w:val="18"/>
                <w:szCs w:val="18"/>
                <w:lang w:val="mk-MK"/>
              </w:rPr>
              <w:t>На крајот на оваа сесија учесниците ќе бидат во можност да:</w:t>
            </w:r>
          </w:p>
          <w:p>
            <w:pPr>
              <w:pStyle w:val="ListParagraph"/>
              <w:numPr>
                <w:ilvl w:val="0"/>
                <w:numId w:val="8"/>
              </w:numPr>
              <w:tabs>
                <w:tab w:val="left" w:pos="426"/>
                <w:tab w:val="left" w:pos="851"/>
              </w:tabs>
              <w:spacing w:before="120" w:after="120" w:line="280" w:lineRule="exact"/>
              <w:jc w:val="both"/>
              <w:rPr>
                <w:rFonts w:ascii="Verdana" w:eastAsia="Times New Roman" w:hAnsi="Verdana"/>
                <w:sz w:val="18"/>
                <w:szCs w:val="18"/>
                <w:lang w:val="mk-MK"/>
              </w:rPr>
            </w:pPr>
            <w:r>
              <w:rPr>
                <w:rFonts w:ascii="Verdana" w:hAnsi="Verdana"/>
                <w:sz w:val="18"/>
                <w:szCs w:val="18"/>
                <w:lang w:val="mk-MK"/>
              </w:rPr>
              <w:t>Ги објаснат одредбите од материјалното кривично право и да ги идентификуваат клучните фактори што се користат за опишување на кривичните дела врз основа на Конвенцијата од Будимпешта.</w:t>
            </w:r>
          </w:p>
          <w:p>
            <w:pPr>
              <w:pStyle w:val="ListParagraph"/>
              <w:tabs>
                <w:tab w:val="left" w:pos="426"/>
                <w:tab w:val="left" w:pos="851"/>
              </w:tabs>
              <w:spacing w:before="120" w:after="120" w:line="280" w:lineRule="exact"/>
              <w:jc w:val="both"/>
              <w:rPr>
                <w:rFonts w:ascii="Verdana" w:eastAsia="Times New Roman" w:hAnsi="Verdana"/>
                <w:sz w:val="18"/>
                <w:szCs w:val="18"/>
                <w:lang w:val="mk-MK"/>
              </w:rPr>
            </w:pPr>
          </w:p>
          <w:p>
            <w:pPr>
              <w:pStyle w:val="ListParagraph"/>
              <w:numPr>
                <w:ilvl w:val="0"/>
                <w:numId w:val="8"/>
              </w:numPr>
              <w:tabs>
                <w:tab w:val="left" w:pos="426"/>
                <w:tab w:val="left" w:pos="851"/>
              </w:tabs>
              <w:spacing w:before="120" w:after="120" w:line="280" w:lineRule="exact"/>
              <w:jc w:val="both"/>
              <w:rPr>
                <w:rFonts w:ascii="Verdana" w:eastAsia="Times New Roman" w:hAnsi="Verdana"/>
                <w:sz w:val="18"/>
                <w:szCs w:val="18"/>
                <w:lang w:val="mk-MK"/>
              </w:rPr>
            </w:pPr>
            <w:r>
              <w:rPr>
                <w:rFonts w:ascii="Verdana" w:hAnsi="Verdana"/>
                <w:sz w:val="18"/>
                <w:szCs w:val="18"/>
                <w:lang w:val="mk-MK"/>
              </w:rPr>
              <w:t>Ги анализираат потребите и предностите на хармонизацијата на домашното законодавство со меѓународните инструменти, особено со Конвенцијата од Будимпешта.</w:t>
            </w:r>
          </w:p>
        </w:tc>
      </w:tr>
      <w:tr>
        <w:trPr>
          <w:trHeight w:val="1475"/>
        </w:trPr>
        <w:tc>
          <w:tcPr>
            <w:tcW w:w="9010" w:type="dxa"/>
            <w:gridSpan w:val="3"/>
            <w:tcBorders>
              <w:bottom w:val="single" w:sz="4" w:space="0" w:color="auto"/>
            </w:tcBorders>
            <w:vAlign w:val="center"/>
          </w:tcPr>
          <w:p>
            <w:pPr>
              <w:spacing w:before="120" w:after="120" w:line="280" w:lineRule="exact"/>
              <w:rPr>
                <w:rFonts w:ascii="Verdana" w:hAnsi="Verdana"/>
                <w:b/>
                <w:sz w:val="22"/>
                <w:szCs w:val="22"/>
                <w:lang w:val="mk-MK"/>
              </w:rPr>
            </w:pPr>
            <w:r>
              <w:rPr>
                <w:rFonts w:ascii="Verdana" w:hAnsi="Verdana"/>
                <w:b/>
                <w:bCs/>
                <w:sz w:val="22"/>
                <w:szCs w:val="22"/>
                <w:lang w:val="mk-MK"/>
              </w:rPr>
              <w:t>Насоки за инструкторот</w:t>
            </w:r>
          </w:p>
          <w:p>
            <w:pPr>
              <w:spacing w:before="120" w:after="120" w:line="280" w:lineRule="exact"/>
              <w:jc w:val="both"/>
              <w:rPr>
                <w:rFonts w:ascii="Verdana" w:hAnsi="Verdana"/>
                <w:sz w:val="18"/>
                <w:szCs w:val="18"/>
                <w:lang w:val="mk-MK"/>
              </w:rPr>
            </w:pPr>
            <w:r>
              <w:rPr>
                <w:rFonts w:ascii="Verdana" w:hAnsi="Verdana"/>
                <w:sz w:val="18"/>
                <w:szCs w:val="18"/>
                <w:lang w:val="mk-MK"/>
              </w:rPr>
              <w:t>Оваа сесија е подготвена за да им овозможи на учесниците сеопфатно разбирање на материјалните одредби што се однесуваат на компјутерскиот криминал. Сесијата е поделена на три дела, покрај воведот и заклучокот. Првиот дел од сесијата се занимава со материјални кривични дела од Конвенцијата од Будимпешта за компјутерски криминал. На овие слајдови е даден текстот на секоја повреда што е наведена во Поглавје 2, Дел 1 од Конвенцијата од Будимпешта за компјутерски криминал, како и детални слајдови што го објаснуваат секој елемент од секој член. Вториот дел од сесијата ги опфаќа материјалните кривични дела според домашното законодавство. И на крајот, третиот дел содржи студии на случај што се однесуваат на материјалот што е опфатен во сесијата.</w:t>
            </w:r>
          </w:p>
        </w:tc>
      </w:tr>
      <w:tr>
        <w:trPr>
          <w:trHeight w:val="701"/>
        </w:trPr>
        <w:tc>
          <w:tcPr>
            <w:tcW w:w="9010" w:type="dxa"/>
            <w:gridSpan w:val="3"/>
            <w:tcBorders>
              <w:bottom w:val="single" w:sz="4" w:space="0" w:color="auto"/>
            </w:tcBorders>
            <w:shd w:val="clear" w:color="auto" w:fill="D9E2F3"/>
            <w:vAlign w:val="center"/>
          </w:tcPr>
          <w:p>
            <w:pPr>
              <w:rPr>
                <w:rFonts w:ascii="Verdana" w:hAnsi="Verdana"/>
                <w:b/>
                <w:sz w:val="28"/>
                <w:szCs w:val="28"/>
                <w:lang w:val="mk-MK"/>
              </w:rPr>
            </w:pPr>
            <w:r>
              <w:rPr>
                <w:rFonts w:ascii="Verdana" w:hAnsi="Verdana"/>
                <w:b/>
                <w:bCs/>
                <w:sz w:val="28"/>
                <w:szCs w:val="28"/>
                <w:lang w:val="mk-MK"/>
              </w:rPr>
              <w:t>Содржина на часот</w:t>
            </w:r>
          </w:p>
        </w:tc>
      </w:tr>
      <w:tr>
        <w:trPr>
          <w:trHeight w:val="629"/>
        </w:trPr>
        <w:tc>
          <w:tcPr>
            <w:tcW w:w="1615" w:type="dxa"/>
            <w:shd w:val="clear" w:color="auto" w:fill="D9E2F3"/>
            <w:vAlign w:val="center"/>
          </w:tcPr>
          <w:p>
            <w:pPr>
              <w:jc w:val="center"/>
              <w:rPr>
                <w:rFonts w:ascii="Verdana" w:hAnsi="Verdana"/>
                <w:b/>
                <w:sz w:val="22"/>
                <w:szCs w:val="22"/>
                <w:lang w:val="mk-MK"/>
              </w:rPr>
            </w:pPr>
            <w:r>
              <w:rPr>
                <w:rFonts w:ascii="Verdana" w:hAnsi="Verdana"/>
                <w:b/>
                <w:bCs/>
                <w:sz w:val="22"/>
                <w:szCs w:val="22"/>
                <w:lang w:val="mk-MK"/>
              </w:rPr>
              <w:t>Броеви на слајдови</w:t>
            </w:r>
          </w:p>
        </w:tc>
        <w:tc>
          <w:tcPr>
            <w:tcW w:w="7395" w:type="dxa"/>
            <w:gridSpan w:val="2"/>
            <w:shd w:val="clear" w:color="auto" w:fill="D9E2F3"/>
            <w:vAlign w:val="center"/>
          </w:tcPr>
          <w:p>
            <w:pPr>
              <w:rPr>
                <w:rFonts w:ascii="Verdana" w:hAnsi="Verdana"/>
                <w:b/>
                <w:sz w:val="22"/>
                <w:szCs w:val="22"/>
                <w:lang w:val="mk-MK"/>
              </w:rPr>
            </w:pPr>
            <w:r>
              <w:rPr>
                <w:rFonts w:ascii="Verdana" w:hAnsi="Verdana"/>
                <w:b/>
                <w:bCs/>
                <w:sz w:val="22"/>
                <w:szCs w:val="22"/>
                <w:lang w:val="mk-MK"/>
              </w:rPr>
              <w:t>Содржина</w:t>
            </w:r>
          </w:p>
        </w:tc>
      </w:tr>
      <w:tr>
        <w:tc>
          <w:tcPr>
            <w:tcW w:w="1615" w:type="dxa"/>
            <w:vAlign w:val="center"/>
          </w:tcPr>
          <w:p>
            <w:pPr>
              <w:spacing w:before="120" w:after="120" w:line="280" w:lineRule="exact"/>
              <w:jc w:val="center"/>
              <w:rPr>
                <w:rFonts w:ascii="Verdana" w:hAnsi="Verdana"/>
                <w:sz w:val="18"/>
                <w:szCs w:val="18"/>
                <w:lang w:val="mk-MK"/>
              </w:rPr>
            </w:pPr>
            <w:r>
              <w:rPr>
                <w:rFonts w:ascii="Verdana" w:hAnsi="Verdana"/>
                <w:sz w:val="18"/>
                <w:szCs w:val="18"/>
                <w:lang w:val="mk-MK"/>
              </w:rPr>
              <w:t>од 1 до 3</w:t>
            </w:r>
          </w:p>
        </w:tc>
        <w:tc>
          <w:tcPr>
            <w:tcW w:w="7395" w:type="dxa"/>
            <w:gridSpan w:val="2"/>
            <w:vAlign w:val="center"/>
          </w:tcPr>
          <w:p>
            <w:pPr>
              <w:tabs>
                <w:tab w:val="left" w:pos="426"/>
                <w:tab w:val="left" w:pos="851"/>
              </w:tabs>
              <w:spacing w:before="120" w:after="120" w:line="280" w:lineRule="exact"/>
              <w:jc w:val="both"/>
              <w:rPr>
                <w:rFonts w:ascii="Verdana" w:hAnsi="Verdana"/>
                <w:sz w:val="18"/>
                <w:szCs w:val="18"/>
                <w:lang w:val="mk-MK"/>
              </w:rPr>
            </w:pPr>
            <w:r>
              <w:rPr>
                <w:rFonts w:ascii="Verdana" w:eastAsia="Times New Roman" w:hAnsi="Verdana"/>
                <w:sz w:val="18"/>
                <w:szCs w:val="18"/>
                <w:lang w:val="mk-MK"/>
              </w:rPr>
              <w:t xml:space="preserve">Првите слајдови ги прикажуваат структурата и целите на оваа сесија. На </w:t>
            </w:r>
            <w:r>
              <w:rPr>
                <w:rFonts w:ascii="Verdana" w:eastAsia="Times New Roman" w:hAnsi="Verdana"/>
                <w:sz w:val="18"/>
                <w:szCs w:val="18"/>
                <w:lang w:val="mk-MK"/>
              </w:rPr>
              <w:lastRenderedPageBreak/>
              <w:t xml:space="preserve">учесниците ќе им биде дадена можност да постават прелиминарни прашања што можеби ги имаат во врска со структурата и со целите на сесијата. </w:t>
            </w:r>
          </w:p>
        </w:tc>
      </w:tr>
      <w:tr>
        <w:trPr>
          <w:trHeight w:val="3158"/>
        </w:trPr>
        <w:tc>
          <w:tcPr>
            <w:tcW w:w="1615" w:type="dxa"/>
            <w:vAlign w:val="center"/>
          </w:tcPr>
          <w:p>
            <w:pPr>
              <w:jc w:val="center"/>
              <w:rPr>
                <w:rFonts w:ascii="Verdana" w:hAnsi="Verdana"/>
                <w:sz w:val="18"/>
                <w:szCs w:val="18"/>
                <w:lang w:val="mk-MK"/>
              </w:rPr>
            </w:pPr>
            <w:r>
              <w:rPr>
                <w:rFonts w:ascii="Verdana" w:hAnsi="Verdana"/>
                <w:sz w:val="18"/>
                <w:szCs w:val="18"/>
                <w:lang w:val="mk-MK"/>
              </w:rPr>
              <w:lastRenderedPageBreak/>
              <w:t>од 4 до 115</w:t>
            </w:r>
          </w:p>
        </w:tc>
        <w:tc>
          <w:tcPr>
            <w:tcW w:w="7395" w:type="dxa"/>
            <w:gridSpan w:val="2"/>
            <w:vAlign w:val="center"/>
          </w:tcPr>
          <w:p>
            <w:pPr>
              <w:pStyle w:val="Subtitle"/>
              <w:spacing w:beforeLines="20" w:before="48" w:afterLines="120" w:after="288" w:line="280" w:lineRule="exact"/>
              <w:rPr>
                <w:rFonts w:ascii="Verdana" w:eastAsia="Times New Roman" w:hAnsi="Verdana"/>
                <w:color w:val="auto"/>
                <w:szCs w:val="18"/>
                <w:lang w:val="mk-MK"/>
              </w:rPr>
            </w:pPr>
            <w:r>
              <w:rPr>
                <w:rFonts w:ascii="Verdana" w:eastAsia="Times New Roman" w:hAnsi="Verdana"/>
                <w:iCs w:val="0"/>
                <w:color w:val="auto"/>
                <w:szCs w:val="18"/>
                <w:lang w:val="mk-MK"/>
              </w:rPr>
              <w:t>Овој дел ги опфаќа материјалните кривични дела што се наведени во Поглавје 2, Дел 1 од Конвенцијата од Будимпешта. Во овој дел слајдовите се поделени на четири потдела:</w:t>
            </w:r>
          </w:p>
          <w:p>
            <w:pPr>
              <w:pStyle w:val="Subtitle"/>
              <w:spacing w:before="4" w:afterLines="24" w:after="57"/>
              <w:rPr>
                <w:rFonts w:ascii="Verdana" w:hAnsi="Verdana"/>
                <w:szCs w:val="18"/>
                <w:lang w:val="mk-MK"/>
              </w:rPr>
            </w:pPr>
            <w:r>
              <w:rPr>
                <w:rFonts w:ascii="Verdana" w:hAnsi="Verdana"/>
                <w:iCs w:val="0"/>
                <w:szCs w:val="18"/>
                <w:lang w:val="mk-MK"/>
              </w:rPr>
              <w:t>1. Кривични дела против доверливоста, интегритетот и достапноста на компјутерските податоци и системи</w:t>
            </w:r>
          </w:p>
          <w:p>
            <w:pPr>
              <w:spacing w:before="4" w:afterLines="24" w:after="57" w:line="280" w:lineRule="atLeast"/>
              <w:rPr>
                <w:rFonts w:ascii="Verdana" w:hAnsi="Verdana"/>
                <w:sz w:val="18"/>
                <w:szCs w:val="18"/>
                <w:lang w:val="mk-MK"/>
              </w:rPr>
            </w:pPr>
            <w:r>
              <w:rPr>
                <w:rFonts w:ascii="Verdana" w:hAnsi="Verdana"/>
                <w:sz w:val="18"/>
                <w:szCs w:val="18"/>
                <w:lang w:val="mk-MK"/>
              </w:rPr>
              <w:t xml:space="preserve">а. Недозволен пристап (член 2) </w:t>
            </w:r>
          </w:p>
          <w:p>
            <w:pPr>
              <w:spacing w:before="4" w:afterLines="24" w:after="57" w:line="280" w:lineRule="atLeast"/>
              <w:rPr>
                <w:rFonts w:ascii="Verdana" w:hAnsi="Verdana"/>
                <w:sz w:val="18"/>
                <w:szCs w:val="18"/>
                <w:lang w:val="mk-MK"/>
              </w:rPr>
            </w:pPr>
            <w:r>
              <w:rPr>
                <w:rFonts w:ascii="Verdana" w:hAnsi="Verdana"/>
                <w:sz w:val="18"/>
                <w:szCs w:val="18"/>
                <w:lang w:val="mk-MK"/>
              </w:rPr>
              <w:t>б. Недозволено пресретнување (член 3)</w:t>
            </w:r>
          </w:p>
          <w:p>
            <w:pPr>
              <w:spacing w:before="4" w:afterLines="24" w:after="57" w:line="280" w:lineRule="atLeast"/>
              <w:rPr>
                <w:rFonts w:ascii="Verdana" w:hAnsi="Verdana"/>
                <w:sz w:val="18"/>
                <w:szCs w:val="18"/>
                <w:lang w:val="mk-MK"/>
              </w:rPr>
            </w:pPr>
            <w:r>
              <w:rPr>
                <w:rFonts w:ascii="Verdana" w:hAnsi="Verdana"/>
                <w:sz w:val="18"/>
                <w:szCs w:val="18"/>
                <w:lang w:val="mk-MK"/>
              </w:rPr>
              <w:t>в. Попречување на податоци (член 4)</w:t>
            </w:r>
          </w:p>
          <w:p>
            <w:pPr>
              <w:spacing w:before="4" w:afterLines="24" w:after="57" w:line="280" w:lineRule="atLeast"/>
              <w:rPr>
                <w:rFonts w:ascii="Verdana" w:hAnsi="Verdana"/>
                <w:sz w:val="18"/>
                <w:szCs w:val="18"/>
                <w:lang w:val="mk-MK"/>
              </w:rPr>
            </w:pPr>
            <w:r>
              <w:rPr>
                <w:rFonts w:ascii="Verdana" w:hAnsi="Verdana"/>
                <w:sz w:val="18"/>
                <w:szCs w:val="18"/>
                <w:lang w:val="mk-MK"/>
              </w:rPr>
              <w:t>г. Попречување на системот (член 5)</w:t>
            </w:r>
          </w:p>
          <w:p>
            <w:pPr>
              <w:spacing w:before="4" w:afterLines="24" w:after="57" w:line="280" w:lineRule="atLeast"/>
              <w:rPr>
                <w:rFonts w:ascii="Verdana" w:hAnsi="Verdana"/>
                <w:sz w:val="18"/>
                <w:szCs w:val="18"/>
                <w:lang w:val="mk-MK"/>
              </w:rPr>
            </w:pPr>
            <w:r>
              <w:rPr>
                <w:rFonts w:ascii="Verdana" w:hAnsi="Verdana"/>
                <w:sz w:val="18"/>
                <w:szCs w:val="18"/>
                <w:lang w:val="mk-MK"/>
              </w:rPr>
              <w:t>д. Злоупотреба на уреди (член 6)</w:t>
            </w:r>
          </w:p>
          <w:p>
            <w:pPr>
              <w:pStyle w:val="Subtitle"/>
              <w:spacing w:before="4" w:afterLines="24" w:after="57"/>
              <w:rPr>
                <w:rFonts w:ascii="Verdana" w:hAnsi="Verdana"/>
                <w:szCs w:val="18"/>
                <w:lang w:val="mk-MK"/>
              </w:rPr>
            </w:pPr>
            <w:r>
              <w:rPr>
                <w:rFonts w:ascii="Verdana" w:hAnsi="Verdana"/>
                <w:iCs w:val="0"/>
                <w:szCs w:val="18"/>
                <w:lang w:val="mk-MK"/>
              </w:rPr>
              <w:t>2. Кривични дела поврзани со компјутери</w:t>
            </w:r>
          </w:p>
          <w:p>
            <w:pPr>
              <w:spacing w:before="4" w:afterLines="24" w:after="57" w:line="280" w:lineRule="atLeast"/>
              <w:rPr>
                <w:rFonts w:ascii="Verdana" w:hAnsi="Verdana"/>
                <w:sz w:val="18"/>
                <w:szCs w:val="18"/>
                <w:lang w:val="mk-MK"/>
              </w:rPr>
            </w:pPr>
            <w:r>
              <w:rPr>
                <w:rFonts w:ascii="Verdana" w:hAnsi="Verdana"/>
                <w:sz w:val="18"/>
                <w:szCs w:val="18"/>
                <w:lang w:val="mk-MK"/>
              </w:rPr>
              <w:t>а. Фалсификување поврзано со компјутери (член 7)</w:t>
            </w:r>
          </w:p>
          <w:p>
            <w:pPr>
              <w:spacing w:before="4" w:afterLines="24" w:after="57" w:line="280" w:lineRule="atLeast"/>
              <w:rPr>
                <w:rFonts w:ascii="Verdana" w:hAnsi="Verdana"/>
                <w:sz w:val="18"/>
                <w:szCs w:val="18"/>
                <w:lang w:val="mk-MK"/>
              </w:rPr>
            </w:pPr>
            <w:r>
              <w:rPr>
                <w:rFonts w:ascii="Verdana" w:hAnsi="Verdana"/>
                <w:sz w:val="18"/>
                <w:szCs w:val="18"/>
                <w:lang w:val="mk-MK"/>
              </w:rPr>
              <w:t>б. Измама поврзана со компјутери (член 8)</w:t>
            </w:r>
          </w:p>
          <w:p>
            <w:pPr>
              <w:pStyle w:val="Subtitle"/>
              <w:spacing w:before="4" w:afterLines="24" w:after="57"/>
              <w:rPr>
                <w:rFonts w:ascii="Verdana" w:hAnsi="Verdana"/>
                <w:szCs w:val="18"/>
                <w:lang w:val="mk-MK"/>
              </w:rPr>
            </w:pPr>
            <w:r>
              <w:rPr>
                <w:rFonts w:ascii="Verdana" w:hAnsi="Verdana"/>
                <w:iCs w:val="0"/>
                <w:szCs w:val="18"/>
                <w:lang w:val="mk-MK"/>
              </w:rPr>
              <w:t>3. Кривични дела поврзани со содржина</w:t>
            </w:r>
          </w:p>
          <w:p>
            <w:pPr>
              <w:spacing w:before="4" w:afterLines="24" w:after="57" w:line="280" w:lineRule="atLeast"/>
              <w:rPr>
                <w:rFonts w:ascii="Verdana" w:hAnsi="Verdana"/>
                <w:sz w:val="18"/>
                <w:szCs w:val="18"/>
                <w:lang w:val="mk-MK"/>
              </w:rPr>
            </w:pPr>
            <w:r>
              <w:rPr>
                <w:rFonts w:ascii="Verdana" w:hAnsi="Verdana"/>
                <w:sz w:val="18"/>
                <w:szCs w:val="18"/>
                <w:lang w:val="mk-MK"/>
              </w:rPr>
              <w:t>а. Кривични дела поврзани со детска порнографија (член 9)</w:t>
            </w:r>
          </w:p>
          <w:p>
            <w:pPr>
              <w:spacing w:before="4" w:afterLines="24" w:after="57" w:line="280" w:lineRule="atLeast"/>
              <w:rPr>
                <w:rFonts w:ascii="Verdana" w:hAnsi="Verdana"/>
                <w:sz w:val="18"/>
                <w:szCs w:val="18"/>
                <w:lang w:val="mk-MK"/>
              </w:rPr>
            </w:pPr>
            <w:r>
              <w:rPr>
                <w:rFonts w:ascii="Verdana" w:hAnsi="Verdana"/>
                <w:sz w:val="18"/>
                <w:szCs w:val="18"/>
                <w:lang w:val="mk-MK"/>
              </w:rPr>
              <w:t>4. Кривични дела што се однесуваат на кршење на авторските и на сродните права</w:t>
            </w:r>
          </w:p>
          <w:p>
            <w:pPr>
              <w:spacing w:beforeLines="20" w:before="48" w:after="24" w:line="280" w:lineRule="exact"/>
              <w:rPr>
                <w:lang w:val="mk-MK"/>
              </w:rPr>
            </w:pPr>
            <w:r>
              <w:rPr>
                <w:lang w:val="mk-MK"/>
              </w:rPr>
              <w:t xml:space="preserve">а. </w:t>
            </w:r>
            <w:r>
              <w:rPr>
                <w:rFonts w:ascii="Verdana" w:hAnsi="Verdana"/>
                <w:sz w:val="18"/>
                <w:szCs w:val="18"/>
                <w:lang w:val="mk-MK"/>
              </w:rPr>
              <w:t>Кривични дела што се однесуваат на кршење на авторските и на сродните права (член 10)</w:t>
            </w:r>
          </w:p>
          <w:p>
            <w:pPr>
              <w:spacing w:beforeLines="20" w:before="48" w:after="24" w:line="280" w:lineRule="exact"/>
              <w:rPr>
                <w:lang w:val="mk-MK"/>
              </w:rPr>
            </w:pPr>
          </w:p>
          <w:p>
            <w:pPr>
              <w:spacing w:beforeLines="20" w:before="48" w:afterLines="120" w:after="288" w:line="280" w:lineRule="exact"/>
              <w:jc w:val="both"/>
              <w:rPr>
                <w:rFonts w:ascii="Verdana" w:hAnsi="Verdana"/>
                <w:sz w:val="18"/>
                <w:szCs w:val="18"/>
                <w:lang w:val="mk-MK"/>
              </w:rPr>
            </w:pPr>
            <w:r>
              <w:rPr>
                <w:rFonts w:ascii="Verdana" w:hAnsi="Verdana"/>
                <w:sz w:val="18"/>
                <w:szCs w:val="18"/>
                <w:lang w:val="mk-MK"/>
              </w:rPr>
              <w:t xml:space="preserve">На учесниците мора детално да им се објаснат важните елементи на овие одредби од материјалното право на Конвенцијата од Будимпешта. Важните елементи од секој член се поединечно обележани во текстот со црвена боја и по секој поединечно потцртан елемент следуваат слајдови со објаснувања за претходниот елемент. Инструкторот може да избере да не ги користи овие детални несуштински слајдови; но важно е секое кривично дело да биде објаснето со доволно детали. </w:t>
            </w:r>
          </w:p>
        </w:tc>
      </w:tr>
      <w:tr>
        <w:trPr>
          <w:trHeight w:val="620"/>
        </w:trPr>
        <w:tc>
          <w:tcPr>
            <w:tcW w:w="1615" w:type="dxa"/>
            <w:vAlign w:val="center"/>
          </w:tcPr>
          <w:p>
            <w:pPr>
              <w:jc w:val="center"/>
              <w:rPr>
                <w:rFonts w:ascii="Verdana" w:hAnsi="Verdana"/>
                <w:sz w:val="18"/>
                <w:szCs w:val="18"/>
                <w:lang w:val="mk-MK"/>
              </w:rPr>
            </w:pPr>
            <w:r>
              <w:rPr>
                <w:rFonts w:ascii="Verdana" w:hAnsi="Verdana"/>
                <w:sz w:val="18"/>
                <w:szCs w:val="18"/>
                <w:lang w:val="mk-MK"/>
              </w:rPr>
              <w:t>од 116 до 142</w:t>
            </w:r>
          </w:p>
        </w:tc>
        <w:tc>
          <w:tcPr>
            <w:tcW w:w="7395" w:type="dxa"/>
            <w:gridSpan w:val="2"/>
            <w:vAlign w:val="center"/>
          </w:tcPr>
          <w:p>
            <w:pPr>
              <w:spacing w:before="120" w:after="120" w:line="280" w:lineRule="exact"/>
              <w:jc w:val="both"/>
              <w:rPr>
                <w:rFonts w:ascii="Verdana" w:hAnsi="Verdana"/>
                <w:sz w:val="18"/>
                <w:szCs w:val="18"/>
                <w:lang w:val="mk-MK"/>
              </w:rPr>
            </w:pPr>
            <w:r>
              <w:rPr>
                <w:rFonts w:ascii="Verdana" w:eastAsia="Times New Roman" w:hAnsi="Verdana"/>
                <w:sz w:val="18"/>
                <w:szCs w:val="18"/>
                <w:lang w:val="mk-MK"/>
              </w:rPr>
              <w:t>Овие слајдови содржат поединечни студии на случаи. Секоја студија на случај содржи кратки факти што се однесуваат на материјалот што е опфатен во сесијата. Инструкторот прво треба да ги прочита гласно фактите од студијата на случај, а потоа да им даде на учесниците можност да предложат одговори. Инструкторот можеби ќе треба да истапи и да ги води учесниците во врска со можните одговори. Инструкторот треба да се погрижи овој дел од сесијата да биде интерактивен бидејќи тоа ќе му даде можност да оцени дали обуката била ефикасна.</w:t>
            </w:r>
          </w:p>
        </w:tc>
      </w:tr>
      <w:tr>
        <w:trPr>
          <w:trHeight w:val="1340"/>
        </w:trPr>
        <w:tc>
          <w:tcPr>
            <w:tcW w:w="1615" w:type="dxa"/>
            <w:vAlign w:val="center"/>
          </w:tcPr>
          <w:p>
            <w:pPr>
              <w:jc w:val="center"/>
              <w:rPr>
                <w:rFonts w:ascii="Verdana" w:hAnsi="Verdana"/>
                <w:sz w:val="18"/>
                <w:szCs w:val="18"/>
                <w:lang w:val="mk-MK"/>
              </w:rPr>
            </w:pPr>
            <w:r>
              <w:rPr>
                <w:rFonts w:ascii="Verdana" w:hAnsi="Verdana"/>
                <w:sz w:val="18"/>
                <w:szCs w:val="18"/>
                <w:lang w:val="mk-MK"/>
              </w:rPr>
              <w:t>од 143 до 145</w:t>
            </w:r>
          </w:p>
        </w:tc>
        <w:tc>
          <w:tcPr>
            <w:tcW w:w="7395" w:type="dxa"/>
            <w:gridSpan w:val="2"/>
            <w:vAlign w:val="center"/>
          </w:tcPr>
          <w:p>
            <w:pPr>
              <w:spacing w:before="120" w:after="120" w:line="280" w:lineRule="exact"/>
              <w:jc w:val="both"/>
              <w:rPr>
                <w:rFonts w:ascii="Verdana" w:eastAsia="Times New Roman" w:hAnsi="Verdana"/>
                <w:sz w:val="18"/>
                <w:szCs w:val="18"/>
                <w:lang w:val="mk-MK"/>
              </w:rPr>
            </w:pPr>
            <w:r>
              <w:rPr>
                <w:rFonts w:ascii="Verdana" w:eastAsia="Times New Roman" w:hAnsi="Verdana"/>
                <w:sz w:val="18"/>
                <w:szCs w:val="18"/>
                <w:lang w:val="mk-MK"/>
              </w:rPr>
              <w:t xml:space="preserve">Инструкторот треба да даде рекапитулар на целите на сесијата заедно со учесниците и да им даде можност да постават прашања што се однесуваат на материјалот што е опфатен во овој модул. </w:t>
            </w:r>
          </w:p>
        </w:tc>
      </w:tr>
      <w:tr>
        <w:trPr>
          <w:trHeight w:val="1050"/>
        </w:trPr>
        <w:tc>
          <w:tcPr>
            <w:tcW w:w="9010" w:type="dxa"/>
            <w:gridSpan w:val="3"/>
            <w:vAlign w:val="center"/>
          </w:tcPr>
          <w:p>
            <w:pPr>
              <w:spacing w:before="120" w:after="120" w:line="280" w:lineRule="exact"/>
              <w:rPr>
                <w:rFonts w:ascii="Verdana" w:hAnsi="Verdana"/>
                <w:b/>
                <w:sz w:val="22"/>
                <w:szCs w:val="22"/>
                <w:lang w:val="mk-MK"/>
              </w:rPr>
            </w:pPr>
            <w:r>
              <w:rPr>
                <w:rFonts w:ascii="Verdana" w:hAnsi="Verdana"/>
                <w:b/>
                <w:bCs/>
                <w:sz w:val="22"/>
                <w:szCs w:val="22"/>
                <w:lang w:val="mk-MK"/>
              </w:rPr>
              <w:lastRenderedPageBreak/>
              <w:t>Практични вежби</w:t>
            </w:r>
          </w:p>
          <w:p>
            <w:pPr>
              <w:spacing w:before="120" w:after="120" w:line="280" w:lineRule="exact"/>
              <w:rPr>
                <w:rFonts w:ascii="Verdana" w:hAnsi="Verdana"/>
                <w:sz w:val="18"/>
                <w:szCs w:val="18"/>
                <w:lang w:val="mk-MK"/>
              </w:rPr>
            </w:pPr>
            <w:r>
              <w:rPr>
                <w:rFonts w:ascii="Verdana" w:hAnsi="Verdana"/>
                <w:sz w:val="18"/>
                <w:szCs w:val="18"/>
                <w:lang w:val="mk-MK"/>
              </w:rPr>
              <w:t>За оваа лекција не се предвидени практични вежби.</w:t>
            </w:r>
          </w:p>
        </w:tc>
      </w:tr>
      <w:tr>
        <w:tc>
          <w:tcPr>
            <w:tcW w:w="9010" w:type="dxa"/>
            <w:gridSpan w:val="3"/>
            <w:vAlign w:val="center"/>
          </w:tcPr>
          <w:p>
            <w:pPr>
              <w:spacing w:before="120" w:after="120" w:line="280" w:lineRule="exact"/>
              <w:rPr>
                <w:rFonts w:ascii="Verdana" w:hAnsi="Verdana"/>
                <w:b/>
                <w:sz w:val="22"/>
                <w:szCs w:val="22"/>
                <w:lang w:val="mk-MK"/>
              </w:rPr>
            </w:pPr>
            <w:r>
              <w:rPr>
                <w:rFonts w:ascii="Verdana" w:hAnsi="Verdana"/>
                <w:b/>
                <w:bCs/>
                <w:sz w:val="22"/>
                <w:szCs w:val="22"/>
                <w:lang w:val="mk-MK"/>
              </w:rPr>
              <w:t>Оценување/Проверка на знаењето</w:t>
            </w:r>
          </w:p>
          <w:p>
            <w:pPr>
              <w:spacing w:before="120" w:after="120" w:line="280" w:lineRule="exact"/>
              <w:jc w:val="both"/>
              <w:rPr>
                <w:rFonts w:ascii="Verdana" w:hAnsi="Verdana"/>
                <w:sz w:val="18"/>
                <w:szCs w:val="18"/>
                <w:lang w:val="mk-MK"/>
              </w:rPr>
            </w:pPr>
            <w:r>
              <w:rPr>
                <w:rFonts w:ascii="Verdana" w:hAnsi="Verdana"/>
                <w:sz w:val="18"/>
                <w:szCs w:val="18"/>
                <w:lang w:val="mk-MK"/>
              </w:rPr>
              <w:t xml:space="preserve">За оваа сесија не е подготвено никакво формално оценување. Инструкторот се поттикнува да ги провери знаењето и разбирањето со поставување релевантни прашања во текот на целата сесија. Инструкторот, исто така, треба да користи студии на случај за да оцени дали се постигнати целите на оваа сесија. </w:t>
            </w:r>
          </w:p>
        </w:tc>
      </w:tr>
    </w:tbl>
    <w:p>
      <w:pPr>
        <w:rPr>
          <w:rFonts w:ascii="Verdana" w:hAnsi="Verdana"/>
          <w:lang w:val="mk-MK"/>
        </w:rPr>
      </w:pPr>
    </w:p>
    <w:sectPr>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Verdana Bold">
    <w:panose1 w:val="020B0804030504040204"/>
    <w:charset w:val="00"/>
    <w:family w:val="auto"/>
    <w:pitch w:val="variable"/>
    <w:sig w:usb0="A10006FF" w:usb1="4000205B" w:usb2="00000010" w:usb3="00000000" w:csb0="0000019F" w:csb1="00000000"/>
  </w:font>
  <w:font w:name="Yu Gothic Light">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5935290"/>
    <w:multiLevelType w:val="hybridMultilevel"/>
    <w:tmpl w:val="684A7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2"/>
  </w:num>
  <w:num w:numId="5">
    <w:abstractNumId w:val="3"/>
  </w:num>
  <w:num w:numId="6">
    <w:abstractNumId w:val="7"/>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pPr>
      <w:ind w:left="720"/>
      <w:contextualSpacing/>
    </w:pPr>
  </w:style>
  <w:style w:type="paragraph" w:customStyle="1" w:styleId="bul1">
    <w:name w:val="bul1"/>
    <w:basedOn w:val="Normal"/>
    <w:link w:val="bul1Char"/>
    <w:qFormat/>
    <w:pPr>
      <w:numPr>
        <w:numId w:val="7"/>
      </w:numPr>
      <w:spacing w:line="280" w:lineRule="atLeast"/>
      <w:ind w:left="851" w:hanging="851"/>
      <w:jc w:val="both"/>
    </w:pPr>
    <w:rPr>
      <w:rFonts w:ascii="Verdana" w:hAnsi="Verdana"/>
      <w:sz w:val="18"/>
      <w:szCs w:val="20"/>
      <w:lang w:val="de-DE" w:eastAsia="de-DE"/>
    </w:rPr>
  </w:style>
  <w:style w:type="character" w:customStyle="1" w:styleId="bul1Char">
    <w:name w:val="bul1 Char"/>
    <w:link w:val="bul1"/>
    <w:locked/>
    <w:rPr>
      <w:rFonts w:ascii="Verdana" w:eastAsia="Calibri" w:hAnsi="Verdana" w:cs="Times New Roman"/>
      <w:sz w:val="18"/>
      <w:lang w:val="de-DE" w:eastAsia="de-DE"/>
    </w:rPr>
  </w:style>
  <w:style w:type="character" w:styleId="Hyperlink">
    <w:name w:val="Hyperlink"/>
    <w:uiPriority w:val="99"/>
    <w:unhideWhenUsed/>
    <w:rPr>
      <w:color w:val="0563C1"/>
      <w:u w:val="single"/>
    </w:rPr>
  </w:style>
  <w:style w:type="paragraph" w:styleId="Subtitle">
    <w:name w:val="Subtitle"/>
    <w:basedOn w:val="Normal"/>
    <w:next w:val="Normal"/>
    <w:link w:val="SubtitleChar"/>
    <w:uiPriority w:val="11"/>
    <w:qFormat/>
    <w:pPr>
      <w:numPr>
        <w:ilvl w:val="1"/>
      </w:numPr>
      <w:spacing w:before="20" w:after="120" w:line="280" w:lineRule="atLeast"/>
      <w:jc w:val="both"/>
    </w:pPr>
    <w:rPr>
      <w:rFonts w:ascii="Verdana Bold" w:eastAsia="Yu Gothic Light" w:hAnsi="Verdana Bold"/>
      <w:iCs/>
      <w:color w:val="000000"/>
      <w:sz w:val="18"/>
    </w:rPr>
  </w:style>
  <w:style w:type="character" w:customStyle="1" w:styleId="SubtitleChar">
    <w:name w:val="Subtitle Char"/>
    <w:link w:val="Subtitle"/>
    <w:uiPriority w:val="11"/>
    <w:rPr>
      <w:rFonts w:ascii="Verdana Bold" w:eastAsia="Yu Gothic Light" w:hAnsi="Verdana Bold" w:cs="Times New Roman"/>
      <w:iCs/>
      <w:color w:val="000000"/>
      <w:sz w:val="18"/>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link w:val="BalloonText"/>
    <w:uiPriority w:val="99"/>
    <w:semiHidden/>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pPr>
      <w:ind w:left="720"/>
      <w:contextualSpacing/>
    </w:pPr>
  </w:style>
  <w:style w:type="paragraph" w:customStyle="1" w:styleId="bul1">
    <w:name w:val="bul1"/>
    <w:basedOn w:val="Normal"/>
    <w:link w:val="bul1Char"/>
    <w:qFormat/>
    <w:pPr>
      <w:numPr>
        <w:numId w:val="7"/>
      </w:numPr>
      <w:spacing w:line="280" w:lineRule="atLeast"/>
      <w:ind w:left="851" w:hanging="851"/>
      <w:jc w:val="both"/>
    </w:pPr>
    <w:rPr>
      <w:rFonts w:ascii="Verdana" w:hAnsi="Verdana"/>
      <w:sz w:val="18"/>
      <w:szCs w:val="20"/>
      <w:lang w:val="de-DE" w:eastAsia="de-DE"/>
    </w:rPr>
  </w:style>
  <w:style w:type="character" w:customStyle="1" w:styleId="bul1Char">
    <w:name w:val="bul1 Char"/>
    <w:link w:val="bul1"/>
    <w:locked/>
    <w:rPr>
      <w:rFonts w:ascii="Verdana" w:eastAsia="Calibri" w:hAnsi="Verdana" w:cs="Times New Roman"/>
      <w:sz w:val="18"/>
      <w:lang w:val="de-DE" w:eastAsia="de-DE"/>
    </w:rPr>
  </w:style>
  <w:style w:type="character" w:styleId="Hyperlink">
    <w:name w:val="Hyperlink"/>
    <w:uiPriority w:val="99"/>
    <w:unhideWhenUsed/>
    <w:rPr>
      <w:color w:val="0563C1"/>
      <w:u w:val="single"/>
    </w:rPr>
  </w:style>
  <w:style w:type="paragraph" w:styleId="Subtitle">
    <w:name w:val="Subtitle"/>
    <w:basedOn w:val="Normal"/>
    <w:next w:val="Normal"/>
    <w:link w:val="SubtitleChar"/>
    <w:uiPriority w:val="11"/>
    <w:qFormat/>
    <w:pPr>
      <w:numPr>
        <w:ilvl w:val="1"/>
      </w:numPr>
      <w:spacing w:before="20" w:after="120" w:line="280" w:lineRule="atLeast"/>
      <w:jc w:val="both"/>
    </w:pPr>
    <w:rPr>
      <w:rFonts w:ascii="Verdana Bold" w:eastAsia="Yu Gothic Light" w:hAnsi="Verdana Bold"/>
      <w:iCs/>
      <w:color w:val="000000"/>
      <w:sz w:val="18"/>
    </w:rPr>
  </w:style>
  <w:style w:type="character" w:customStyle="1" w:styleId="SubtitleChar">
    <w:name w:val="Subtitle Char"/>
    <w:link w:val="Subtitle"/>
    <w:uiPriority w:val="11"/>
    <w:rPr>
      <w:rFonts w:ascii="Verdana Bold" w:eastAsia="Yu Gothic Light" w:hAnsi="Verdana Bold" w:cs="Times New Roman"/>
      <w:iCs/>
      <w:color w:val="000000"/>
      <w:sz w:val="18"/>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link w:val="BalloonText"/>
    <w:uiPriority w:val="99"/>
    <w:semiHidden/>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713</Words>
  <Characters>4065</Characters>
  <Application>Microsoft Office Word</Application>
  <DocSecurity>0</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Grizli777</Company>
  <LinksUpToDate>false</LinksUpToDate>
  <CharactersWithSpaces>4769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Alkemist</cp:lastModifiedBy>
  <cp:revision>2</cp:revision>
  <dcterms:created xsi:type="dcterms:W3CDTF">2017-11-09T17:31:00Z</dcterms:created>
  <dcterms:modified xsi:type="dcterms:W3CDTF">2017-11-09T17:31:00Z</dcterms:modified>
</cp:coreProperties>
</file>